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民权县</w:t>
      </w:r>
      <w:r>
        <w:rPr>
          <w:rFonts w:hint="eastAsia" w:ascii="Times New Roman" w:hAnsi="Times New Roman" w:eastAsia="仿宋_GB2312" w:cs="Times New Roman"/>
          <w:b w:val="0"/>
          <w:snapToGrid/>
          <w:kern w:val="2"/>
          <w:sz w:val="36"/>
          <w:szCs w:val="36"/>
          <w:lang w:val="en-US" w:eastAsia="zh-CN" w:bidi="ar-SA"/>
        </w:rPr>
        <w:t>2023</w:t>
      </w:r>
      <w:r>
        <w:rPr>
          <w:rFonts w:hint="eastAsia" w:ascii="方正小标宋_GBK" w:hAnsi="方正小标宋_GBK" w:eastAsia="方正小标宋_GBK" w:cs="方正小标宋_GBK"/>
          <w:sz w:val="36"/>
          <w:szCs w:val="36"/>
          <w:lang w:val="en-US" w:eastAsia="zh-CN"/>
        </w:rPr>
        <w:t>年预算绩效工作开展情况说明</w:t>
      </w:r>
    </w:p>
    <w:p>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lang w:val="en-US" w:eastAsia="zh-CN"/>
        </w:rPr>
      </w:pPr>
    </w:p>
    <w:p>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为全面深入推进预算绩效管理，根据《中共河南省委 河南省人民政府关于全面实施预算绩效管理的实施意见》（豫发</w:t>
      </w:r>
      <w:r>
        <w:rPr>
          <w:rFonts w:hint="eastAsia" w:ascii="Times New Roman" w:hAnsi="Times New Roman" w:eastAsia="仿宋_GB2312" w:cs="Times New Roman"/>
          <w:sz w:val="32"/>
          <w:szCs w:val="32"/>
          <w:lang w:val="en-US" w:eastAsia="zh-CN"/>
        </w:rPr>
        <w:t>〔2019〕10</w:t>
      </w:r>
      <w:r>
        <w:rPr>
          <w:rFonts w:hint="eastAsia" w:ascii="仿宋_GB2312" w:hAnsi="仿宋_GB2312" w:eastAsia="仿宋_GB2312" w:cs="仿宋_GB2312"/>
          <w:sz w:val="32"/>
          <w:szCs w:val="32"/>
          <w:lang w:val="en-US" w:eastAsia="zh-CN"/>
        </w:rPr>
        <w:t>号）纲领性文件为统领，认真履行预算绩效管理责任，为督促我县各预算单位着力开展预算绩效全过程管理工作。</w:t>
      </w:r>
    </w:p>
    <w:p>
      <w:pPr>
        <w:pStyle w:val="7"/>
        <w:pageBreakBefore w:val="0"/>
        <w:numPr>
          <w:ilvl w:val="0"/>
          <w:numId w:val="2"/>
        </w:numPr>
        <w:kinsoku/>
        <w:wordWrap/>
        <w:overflowPunct/>
        <w:topLinePunct w:val="0"/>
        <w:autoSpaceDE/>
        <w:autoSpaceDN/>
        <w:bidi w:val="0"/>
        <w:adjustRightInd w:val="0"/>
        <w:snapToGrid w:val="0"/>
        <w:spacing w:line="600" w:lineRule="exac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绩效目标开展情况</w:t>
      </w:r>
    </w:p>
    <w:p>
      <w:pPr>
        <w:pageBreakBefore w:val="0"/>
        <w:kinsoku/>
        <w:wordWrap/>
        <w:overflowPunct/>
        <w:topLinePunct w:val="0"/>
        <w:autoSpaceDE/>
        <w:autoSpaceDN/>
        <w:bidi w:val="0"/>
        <w:spacing w:line="60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将绩效目标管理与预算编制相结合，一同上报，一同审核，一同批复，对全县预算部门整体支出绩效目标和项目支出绩效目标开展集中现场审核工作。针对绩效目标设置不</w:t>
      </w:r>
      <w:r>
        <w:rPr>
          <w:rFonts w:hint="eastAsia" w:ascii="Times New Roman" w:hAnsi="Times New Roman" w:eastAsia="仿宋_GB2312" w:cs="Times New Roman"/>
          <w:b w:val="0"/>
          <w:bCs w:val="0"/>
          <w:kern w:val="2"/>
          <w:sz w:val="32"/>
          <w:szCs w:val="32"/>
          <w:lang w:val="en-US" w:eastAsia="zh-CN" w:bidi="ar-SA"/>
        </w:rPr>
        <w:t>合理</w:t>
      </w:r>
      <w:r>
        <w:rPr>
          <w:rFonts w:hint="eastAsia" w:ascii="仿宋_GB2312" w:hAnsi="仿宋_GB2312" w:eastAsia="仿宋_GB2312" w:cs="仿宋_GB2312"/>
          <w:sz w:val="32"/>
          <w:szCs w:val="32"/>
          <w:lang w:val="en-US" w:eastAsia="zh-CN"/>
        </w:rPr>
        <w:t>的情况，由第三方专家现场指导修改，保障绩效目标科学合理。</w:t>
      </w:r>
    </w:p>
    <w:p>
      <w:pPr>
        <w:pStyle w:val="7"/>
        <w:pageBreakBefore w:val="0"/>
        <w:numPr>
          <w:ilvl w:val="0"/>
          <w:numId w:val="2"/>
        </w:numPr>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绩效监控开展情况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val="0"/>
          <w:snapToGrid/>
          <w:kern w:val="2"/>
          <w:sz w:val="32"/>
          <w:szCs w:val="32"/>
          <w:lang w:val="en-US" w:eastAsia="zh-CN" w:bidi="ar-SA"/>
        </w:rPr>
        <w:t>为确保绩效监控工作的顺利开展，采取现场指导方式对设置的绩效运行监控进行填报辅导，召集各单位进行一对一指导审核，对填报出现的问题现场指导讲解，并要求修改完善。此外，选取了涉及民生、社会关注度较高的</w:t>
      </w:r>
      <w:r>
        <w:rPr>
          <w:rFonts w:hint="default" w:ascii="Times New Roman" w:hAnsi="Times New Roman" w:eastAsia="仿宋_GB2312" w:cs="Times New Roman"/>
          <w:b w:val="0"/>
          <w:snapToGrid/>
          <w:kern w:val="2"/>
          <w:sz w:val="32"/>
          <w:szCs w:val="32"/>
          <w:lang w:val="en-US" w:eastAsia="zh-CN" w:bidi="ar-SA"/>
        </w:rPr>
        <w:t>2023</w:t>
      </w:r>
      <w:r>
        <w:rPr>
          <w:rFonts w:hint="eastAsia" w:ascii="仿宋_GB2312" w:hAnsi="仿宋_GB2312" w:eastAsia="仿宋_GB2312" w:cs="仿宋_GB2312"/>
          <w:b w:val="0"/>
          <w:snapToGrid/>
          <w:kern w:val="2"/>
          <w:sz w:val="32"/>
          <w:szCs w:val="32"/>
          <w:lang w:val="en-US" w:eastAsia="zh-CN" w:bidi="ar-SA"/>
        </w:rPr>
        <w:t>年</w:t>
      </w:r>
      <w:r>
        <w:rPr>
          <w:rFonts w:hint="eastAsia" w:ascii="Times New Roman" w:hAnsi="Times New Roman" w:eastAsia="仿宋_GB2312" w:cs="Times New Roman"/>
          <w:b w:val="0"/>
          <w:snapToGrid/>
          <w:kern w:val="2"/>
          <w:sz w:val="32"/>
          <w:szCs w:val="32"/>
          <w:lang w:val="en-US" w:eastAsia="zh-CN" w:bidi="ar-SA"/>
        </w:rPr>
        <w:t>80</w:t>
      </w:r>
      <w:r>
        <w:rPr>
          <w:rFonts w:hint="eastAsia" w:ascii="仿宋_GB2312" w:hAnsi="仿宋_GB2312" w:eastAsia="仿宋_GB2312" w:cs="仿宋_GB2312"/>
          <w:b w:val="0"/>
          <w:snapToGrid/>
          <w:kern w:val="2"/>
          <w:sz w:val="32"/>
          <w:szCs w:val="32"/>
          <w:lang w:val="en-US" w:eastAsia="zh-CN" w:bidi="ar-SA"/>
        </w:rPr>
        <w:t>岁以上高龄补贴项目作为财政重点绩效监控。</w:t>
      </w:r>
    </w:p>
    <w:p>
      <w:pPr>
        <w:pStyle w:val="7"/>
        <w:pageBreakBefore w:val="0"/>
        <w:numPr>
          <w:ilvl w:val="0"/>
          <w:numId w:val="2"/>
        </w:numPr>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绩效评价开展情况</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lang w:val="en-US" w:eastAsia="zh-CN"/>
        </w:rPr>
      </w:pPr>
      <w:r>
        <w:rPr>
          <w:rFonts w:hint="eastAsia" w:ascii="仿宋_GB2312" w:hAnsi="仿宋_GB2312" w:eastAsia="仿宋_GB2312" w:cs="仿宋_GB2312"/>
          <w:b w:val="0"/>
          <w:snapToGrid/>
          <w:kern w:val="2"/>
          <w:sz w:val="32"/>
          <w:szCs w:val="32"/>
          <w:lang w:val="en-US" w:eastAsia="zh-CN" w:bidi="ar-SA"/>
        </w:rPr>
        <w:t>为确保绩效评价质量，在单位自评的基础上，聘请专业的第三方机构，对</w:t>
      </w:r>
      <w:r>
        <w:rPr>
          <w:rFonts w:hint="eastAsia" w:ascii="Times New Roman" w:hAnsi="Times New Roman" w:eastAsia="仿宋_GB2312" w:cs="Times New Roman"/>
          <w:b w:val="0"/>
          <w:snapToGrid/>
          <w:kern w:val="2"/>
          <w:sz w:val="32"/>
          <w:szCs w:val="32"/>
          <w:lang w:val="en-US" w:eastAsia="zh-CN" w:bidi="ar-SA"/>
        </w:rPr>
        <w:t>2022</w:t>
      </w:r>
      <w:r>
        <w:rPr>
          <w:rFonts w:hint="eastAsia" w:ascii="仿宋_GB2312" w:hAnsi="仿宋_GB2312" w:eastAsia="仿宋_GB2312" w:cs="仿宋_GB2312"/>
          <w:b w:val="0"/>
          <w:snapToGrid/>
          <w:kern w:val="2"/>
          <w:sz w:val="32"/>
          <w:szCs w:val="32"/>
          <w:lang w:val="en-US" w:eastAsia="zh-CN" w:bidi="ar-SA"/>
        </w:rPr>
        <w:t>年度陇海铁路以北环卫作业经费项目、</w:t>
      </w:r>
      <w:r>
        <w:rPr>
          <w:rFonts w:hint="eastAsia" w:ascii="Times New Roman" w:hAnsi="Times New Roman" w:eastAsia="仿宋_GB2312" w:cs="Times New Roman"/>
          <w:b w:val="0"/>
          <w:snapToGrid/>
          <w:kern w:val="2"/>
          <w:sz w:val="32"/>
          <w:szCs w:val="32"/>
          <w:lang w:val="en-US" w:eastAsia="zh-CN" w:bidi="ar-SA"/>
        </w:rPr>
        <w:t>2022</w:t>
      </w:r>
      <w:r>
        <w:rPr>
          <w:rFonts w:hint="eastAsia" w:ascii="仿宋_GB2312" w:hAnsi="仿宋_GB2312" w:eastAsia="仿宋_GB2312" w:cs="仿宋_GB2312"/>
          <w:b w:val="0"/>
          <w:snapToGrid/>
          <w:kern w:val="2"/>
          <w:sz w:val="32"/>
          <w:szCs w:val="32"/>
          <w:lang w:val="en-US" w:eastAsia="zh-CN" w:bidi="ar-SA"/>
        </w:rPr>
        <w:t>年农村义务教育营养改善计划资金项目、</w:t>
      </w:r>
      <w:r>
        <w:rPr>
          <w:rFonts w:hint="eastAsia" w:ascii="Times New Roman" w:hAnsi="Times New Roman" w:eastAsia="仿宋_GB2312" w:cs="Times New Roman"/>
          <w:b w:val="0"/>
          <w:snapToGrid/>
          <w:kern w:val="2"/>
          <w:sz w:val="32"/>
          <w:szCs w:val="32"/>
          <w:lang w:val="en-US" w:eastAsia="zh-CN" w:bidi="ar-SA"/>
        </w:rPr>
        <w:t>2022</w:t>
      </w:r>
      <w:r>
        <w:rPr>
          <w:rFonts w:hint="eastAsia" w:ascii="仿宋_GB2312" w:hAnsi="仿宋_GB2312" w:eastAsia="仿宋_GB2312" w:cs="仿宋_GB2312"/>
          <w:b w:val="0"/>
          <w:snapToGrid/>
          <w:kern w:val="2"/>
          <w:sz w:val="32"/>
          <w:szCs w:val="32"/>
          <w:lang w:val="en-US" w:eastAsia="zh-CN" w:bidi="ar-SA"/>
        </w:rPr>
        <w:t>年基本公共卫生服务项目、机关事业单位养老保险资金缺口项目以及</w:t>
      </w:r>
      <w:r>
        <w:rPr>
          <w:rFonts w:hint="eastAsia" w:ascii="Times New Roman" w:hAnsi="Times New Roman" w:eastAsia="仿宋_GB2312" w:cs="Times New Roman"/>
          <w:b w:val="0"/>
          <w:snapToGrid/>
          <w:kern w:val="2"/>
          <w:sz w:val="32"/>
          <w:szCs w:val="32"/>
          <w:lang w:val="en-US" w:eastAsia="zh-CN" w:bidi="ar-SA"/>
        </w:rPr>
        <w:t>2022</w:t>
      </w:r>
      <w:r>
        <w:rPr>
          <w:rFonts w:hint="eastAsia" w:ascii="仿宋_GB2312" w:hAnsi="仿宋_GB2312" w:eastAsia="仿宋_GB2312" w:cs="仿宋_GB2312"/>
          <w:b w:val="0"/>
          <w:snapToGrid/>
          <w:kern w:val="2"/>
          <w:sz w:val="32"/>
          <w:szCs w:val="32"/>
          <w:lang w:val="en-US" w:eastAsia="zh-CN" w:bidi="ar-SA"/>
        </w:rPr>
        <w:t>年民权县城市供暖工程项目等</w:t>
      </w:r>
      <w:r>
        <w:rPr>
          <w:rFonts w:hint="eastAsia" w:ascii="Times New Roman" w:hAnsi="Times New Roman" w:eastAsia="仿宋_GB2312" w:cs="Times New Roman"/>
          <w:b w:val="0"/>
          <w:snapToGrid/>
          <w:kern w:val="2"/>
          <w:sz w:val="32"/>
          <w:szCs w:val="32"/>
          <w:lang w:val="en-US" w:eastAsia="zh-CN" w:bidi="ar-SA"/>
        </w:rPr>
        <w:t>5</w:t>
      </w:r>
      <w:r>
        <w:rPr>
          <w:rFonts w:hint="eastAsia" w:ascii="仿宋_GB2312" w:hAnsi="仿宋_GB2312" w:eastAsia="仿宋_GB2312" w:cs="仿宋_GB2312"/>
          <w:b w:val="0"/>
          <w:snapToGrid/>
          <w:kern w:val="2"/>
          <w:sz w:val="32"/>
          <w:szCs w:val="32"/>
          <w:lang w:val="en-US" w:eastAsia="zh-CN" w:bidi="ar-SA"/>
        </w:rPr>
        <w:t>个重点项目和</w:t>
      </w:r>
      <w:r>
        <w:rPr>
          <w:rFonts w:hint="eastAsia" w:ascii="Times New Roman" w:hAnsi="Times New Roman" w:eastAsia="仿宋_GB2312" w:cs="Times New Roman"/>
          <w:b w:val="0"/>
          <w:snapToGrid/>
          <w:kern w:val="2"/>
          <w:sz w:val="32"/>
          <w:szCs w:val="32"/>
          <w:lang w:val="en-US" w:eastAsia="zh-CN" w:bidi="ar-SA"/>
        </w:rPr>
        <w:t>1</w:t>
      </w:r>
      <w:r>
        <w:rPr>
          <w:rFonts w:hint="eastAsia" w:ascii="仿宋_GB2312" w:hAnsi="仿宋_GB2312" w:eastAsia="仿宋_GB2312" w:cs="仿宋_GB2312"/>
          <w:b w:val="0"/>
          <w:snapToGrid/>
          <w:kern w:val="2"/>
          <w:sz w:val="32"/>
          <w:szCs w:val="32"/>
          <w:lang w:val="en-US" w:eastAsia="zh-CN" w:bidi="ar-SA"/>
        </w:rPr>
        <w:t>个部门（农业农村局）开展县本级财政重点绩效评价，稳步推动预算绩效管理工作开展。</w:t>
      </w:r>
    </w:p>
    <w:p>
      <w:pPr>
        <w:pStyle w:val="2"/>
        <w:numPr>
          <w:numId w:val="0"/>
        </w:numPr>
        <w:jc w:val="both"/>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（四）全过程预算绩效管理链条基本贯通</w:t>
      </w:r>
    </w:p>
    <w:p>
      <w:pPr>
        <w:pStyle w:val="2"/>
        <w:numPr>
          <w:numId w:val="0"/>
        </w:numPr>
        <w:ind w:firstLine="640" w:firstLineChars="200"/>
        <w:jc w:val="both"/>
        <w:rPr>
          <w:rFonts w:hint="default"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val="0"/>
          <w:snapToGrid/>
          <w:kern w:val="2"/>
          <w:sz w:val="32"/>
          <w:szCs w:val="32"/>
          <w:lang w:val="en-US" w:eastAsia="zh-CN" w:bidi="ar-SA"/>
        </w:rPr>
        <w:t>有序推动执行和监督全过程预算绩效管理工作，强化事前绩效评估，增强项目立项和预算安排的科学性，进一步规范预算绩效目标申报，强化绩效目标约束，加强以绩效目标实现程度和预算执行进度为核心的绩效监控，提高绩效评价管理力度，</w:t>
      </w:r>
      <w:bookmarkStart w:id="0" w:name="_GoBack"/>
      <w:bookmarkEnd w:id="0"/>
      <w:r>
        <w:rPr>
          <w:rFonts w:hint="eastAsia" w:ascii="仿宋_GB2312" w:hAnsi="仿宋_GB2312" w:eastAsia="仿宋_GB2312" w:cs="仿宋_GB2312"/>
          <w:b w:val="0"/>
          <w:snapToGrid/>
          <w:kern w:val="2"/>
          <w:sz w:val="32"/>
          <w:szCs w:val="32"/>
          <w:lang w:val="en-US" w:eastAsia="zh-CN" w:bidi="ar-SA"/>
        </w:rPr>
        <w:t>健全完善单位绩效自评、部门绩效评价和财政绩效评价多层次绩效评价体系，为落实全方位、全过程、全覆盖的预算绩效管理体系夯实基础。</w:t>
      </w:r>
    </w:p>
    <w:p>
      <w:pPr>
        <w:keepNext w:val="0"/>
        <w:keepLines w:val="0"/>
        <w:pageBreakBefore w:val="0"/>
        <w:kinsoku/>
        <w:wordWrap/>
        <w:overflowPunct/>
        <w:topLinePunct w:val="0"/>
        <w:autoSpaceDE/>
        <w:autoSpaceDN/>
        <w:bidi w:val="0"/>
        <w:spacing w:line="600" w:lineRule="exact"/>
        <w:jc w:val="both"/>
        <w:textAlignment w:val="auto"/>
        <w:rPr>
          <w:rFonts w:hint="default" w:ascii="方正小标宋_GBK" w:hAnsi="方正小标宋_GBK" w:eastAsia="方正小标宋_GBK" w:cs="方正小标宋_GBK"/>
          <w:sz w:val="36"/>
          <w:szCs w:val="36"/>
          <w:lang w:val="en-US" w:eastAsia="zh-CN"/>
        </w:rPr>
      </w:pPr>
    </w:p>
    <w:sectPr>
      <w:pgSz w:w="11906" w:h="16838"/>
      <w:pgMar w:top="1417" w:right="1417"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4"/>
      <w:lvlText w:val="第%1章　"/>
      <w:lvlJc w:val="left"/>
      <w:pPr>
        <w:tabs>
          <w:tab w:val="left" w:pos="1440"/>
        </w:tabs>
        <w:ind w:left="1470" w:hanging="720"/>
      </w:pPr>
      <w:rPr>
        <w:rFonts w:hint="eastAsia" w:cs="Times New Roman"/>
        <w:sz w:val="32"/>
      </w:rPr>
    </w:lvl>
    <w:lvl w:ilvl="1" w:tentative="0">
      <w:start w:val="1"/>
      <w:numFmt w:val="lowerRoman"/>
      <w:lvlText w:val="(%2)"/>
      <w:lvlJc w:val="left"/>
      <w:pPr>
        <w:tabs>
          <w:tab w:val="left" w:pos="861"/>
        </w:tabs>
        <w:ind w:left="1611" w:hanging="720"/>
      </w:pPr>
      <w:rPr>
        <w:rFonts w:hint="eastAsia" w:cs="Times New Roman"/>
      </w:rPr>
    </w:lvl>
    <w:lvl w:ilvl="2" w:tentative="0">
      <w:start w:val="1"/>
      <w:numFmt w:val="lowerLetter"/>
      <w:lvlText w:val="(%3)"/>
      <w:lvlJc w:val="left"/>
      <w:pPr>
        <w:tabs>
          <w:tab w:val="left" w:pos="1335"/>
        </w:tabs>
        <w:ind w:left="2085" w:hanging="495"/>
      </w:pPr>
      <w:rPr>
        <w:rFonts w:hint="eastAsia" w:cs="Times New Roman"/>
      </w:rPr>
    </w:lvl>
    <w:lvl w:ilvl="3" w:tentative="0">
      <w:start w:val="1"/>
      <w:numFmt w:val="decimal"/>
      <w:lvlText w:val="%4."/>
      <w:lvlJc w:val="left"/>
      <w:pPr>
        <w:tabs>
          <w:tab w:val="left" w:pos="1680"/>
        </w:tabs>
        <w:ind w:left="2430" w:hanging="420"/>
      </w:pPr>
      <w:rPr>
        <w:rFonts w:cs="Times New Roman"/>
      </w:rPr>
    </w:lvl>
    <w:lvl w:ilvl="4" w:tentative="0">
      <w:start w:val="1"/>
      <w:numFmt w:val="lowerLetter"/>
      <w:lvlText w:val="%5)"/>
      <w:lvlJc w:val="left"/>
      <w:pPr>
        <w:tabs>
          <w:tab w:val="left" w:pos="2100"/>
        </w:tabs>
        <w:ind w:left="2850" w:hanging="420"/>
      </w:pPr>
      <w:rPr>
        <w:rFonts w:cs="Times New Roman"/>
      </w:rPr>
    </w:lvl>
    <w:lvl w:ilvl="5" w:tentative="0">
      <w:start w:val="1"/>
      <w:numFmt w:val="lowerRoman"/>
      <w:lvlText w:val="%6."/>
      <w:lvlJc w:val="right"/>
      <w:pPr>
        <w:tabs>
          <w:tab w:val="left" w:pos="2520"/>
        </w:tabs>
        <w:ind w:left="3270" w:hanging="420"/>
      </w:pPr>
      <w:rPr>
        <w:rFonts w:cs="Times New Roman"/>
      </w:rPr>
    </w:lvl>
    <w:lvl w:ilvl="6" w:tentative="0">
      <w:start w:val="1"/>
      <w:numFmt w:val="decimal"/>
      <w:lvlText w:val="%7."/>
      <w:lvlJc w:val="left"/>
      <w:pPr>
        <w:tabs>
          <w:tab w:val="left" w:pos="2940"/>
        </w:tabs>
        <w:ind w:left="3690" w:hanging="420"/>
      </w:pPr>
      <w:rPr>
        <w:rFonts w:cs="Times New Roman"/>
      </w:rPr>
    </w:lvl>
    <w:lvl w:ilvl="7" w:tentative="0">
      <w:start w:val="1"/>
      <w:numFmt w:val="lowerLetter"/>
      <w:lvlText w:val="%8)"/>
      <w:lvlJc w:val="left"/>
      <w:pPr>
        <w:tabs>
          <w:tab w:val="left" w:pos="3360"/>
        </w:tabs>
        <w:ind w:left="4110" w:hanging="420"/>
      </w:pPr>
      <w:rPr>
        <w:rFonts w:cs="Times New Roman"/>
      </w:rPr>
    </w:lvl>
    <w:lvl w:ilvl="8" w:tentative="0">
      <w:start w:val="1"/>
      <w:numFmt w:val="lowerRoman"/>
      <w:lvlText w:val="%9."/>
      <w:lvlJc w:val="right"/>
      <w:pPr>
        <w:tabs>
          <w:tab w:val="left" w:pos="3780"/>
        </w:tabs>
        <w:ind w:left="4530" w:hanging="420"/>
      </w:pPr>
      <w:rPr>
        <w:rFonts w:cs="Times New Roman"/>
      </w:rPr>
    </w:lvl>
  </w:abstractNum>
  <w:abstractNum w:abstractNumId="1">
    <w:nsid w:val="32BBE6A3"/>
    <w:multiLevelType w:val="singleLevel"/>
    <w:tmpl w:val="32BBE6A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mNGQ4OWE2MzZlYjFhZDM1MmVmOWI0NzIwMTVlZjEifQ=="/>
  </w:docVars>
  <w:rsids>
    <w:rsidRoot w:val="55E24D6A"/>
    <w:rsid w:val="55E2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unhideWhenUsed/>
    <w:qFormat/>
    <w:uiPriority w:val="0"/>
    <w:pPr>
      <w:keepNext/>
      <w:keepLines/>
      <w:spacing w:beforeLines="0" w:beforeAutospacing="0" w:afterLines="0" w:afterAutospacing="0" w:line="560" w:lineRule="exact"/>
      <w:ind w:firstLine="723" w:firstLineChars="200"/>
      <w:outlineLvl w:val="1"/>
    </w:pPr>
    <w:rPr>
      <w:rFonts w:eastAsia="楷体"/>
      <w:b/>
      <w:bCs/>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style>
  <w:style w:type="paragraph" w:styleId="3">
    <w:name w:val="Body Text"/>
    <w:basedOn w:val="1"/>
    <w:next w:val="4"/>
    <w:qFormat/>
    <w:uiPriority w:val="0"/>
    <w:pPr>
      <w:spacing w:after="120" w:afterLines="0" w:afterAutospacing="0"/>
    </w:pPr>
  </w:style>
  <w:style w:type="paragraph" w:styleId="4">
    <w:name w:val="Body Text 2"/>
    <w:basedOn w:val="1"/>
    <w:qFormat/>
    <w:uiPriority w:val="99"/>
    <w:pPr>
      <w:numPr>
        <w:ilvl w:val="0"/>
        <w:numId w:val="1"/>
      </w:numPr>
      <w:spacing w:beforeLines="50" w:line="336" w:lineRule="auto"/>
      <w:ind w:firstLine="0"/>
    </w:pPr>
    <w:rPr>
      <w:rFonts w:eastAsia="黑体"/>
      <w:lang w:val="en-GB"/>
    </w:rPr>
  </w:style>
  <w:style w:type="paragraph" w:styleId="5">
    <w:name w:val="Body Text First Indent 2"/>
    <w:basedOn w:val="6"/>
    <w:qFormat/>
    <w:uiPriority w:val="99"/>
    <w:pPr>
      <w:spacing w:line="360" w:lineRule="auto"/>
      <w:ind w:firstLine="964"/>
    </w:pPr>
    <w:rPr>
      <w:rFonts w:ascii="Times New Roman" w:eastAsia="仿宋"/>
      <w:sz w:val="28"/>
      <w:szCs w:val="28"/>
    </w:rPr>
  </w:style>
  <w:style w:type="paragraph" w:styleId="6">
    <w:name w:val="Body Text Indent"/>
    <w:basedOn w:val="1"/>
    <w:qFormat/>
    <w:uiPriority w:val="99"/>
    <w:pPr>
      <w:spacing w:line="560" w:lineRule="exact"/>
      <w:ind w:firstLine="600"/>
    </w:pPr>
    <w:rPr>
      <w:rFonts w:ascii="仿宋_GB2312" w:eastAsia="仿宋_GB2312"/>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2024-10-16T06:37:00Z</dcterms:created>
  <dc:creator>dell</dc:creator>
  <cp:lastModifiedBy>dell</cp:lastModifiedBy>
  <dcterms:modified xsi:type="dcterms:W3CDTF">2024-10-16T07:18:21Z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E393E573B31749D1BCAA4E659C355D8C</vt:lpwstr>
  </property>
</Properties>
</file>