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102EC">
      <w:pPr>
        <w:ind w:firstLine="723" w:firstLineChars="200"/>
        <w:jc w:val="both"/>
        <w:rPr>
          <w:rFonts w:hint="eastAsia"/>
          <w:b/>
          <w:sz w:val="36"/>
          <w:szCs w:val="36"/>
        </w:rPr>
      </w:pPr>
      <w:r>
        <w:rPr>
          <w:rFonts w:hint="eastAsia"/>
          <w:b/>
          <w:sz w:val="36"/>
          <w:szCs w:val="36"/>
        </w:rPr>
        <w:t>关于</w:t>
      </w:r>
      <w:r>
        <w:rPr>
          <w:rFonts w:hint="eastAsia"/>
          <w:b/>
          <w:sz w:val="36"/>
          <w:szCs w:val="36"/>
          <w:lang w:eastAsia="zh-CN"/>
        </w:rPr>
        <w:t>民权县</w:t>
      </w:r>
      <w:r>
        <w:rPr>
          <w:rFonts w:hint="eastAsia"/>
          <w:b/>
          <w:sz w:val="36"/>
          <w:szCs w:val="36"/>
        </w:rPr>
        <w:t>“三公”经费</w:t>
      </w:r>
      <w:r>
        <w:rPr>
          <w:rFonts w:hint="eastAsia"/>
          <w:b/>
          <w:sz w:val="36"/>
          <w:szCs w:val="36"/>
          <w:lang w:eastAsia="zh-CN"/>
        </w:rPr>
        <w:t>增减变化</w:t>
      </w:r>
      <w:r>
        <w:rPr>
          <w:rFonts w:hint="eastAsia"/>
          <w:b/>
          <w:sz w:val="36"/>
          <w:szCs w:val="36"/>
        </w:rPr>
        <w:t>情况说明</w:t>
      </w:r>
    </w:p>
    <w:p w14:paraId="638E1F71">
      <w:pPr>
        <w:ind w:firstLine="640" w:firstLineChars="200"/>
        <w:rPr>
          <w:rFonts w:hint="eastAsia"/>
          <w:sz w:val="32"/>
          <w:szCs w:val="32"/>
        </w:rPr>
      </w:pPr>
    </w:p>
    <w:p w14:paraId="74C08503">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highlight w:val="none"/>
          <w:lang w:val="en-US" w:eastAsia="zh-CN"/>
        </w:rPr>
      </w:pPr>
      <w:r>
        <w:rPr>
          <w:rFonts w:hint="eastAsia" w:ascii="仿宋_GB2312" w:eastAsia="仿宋_GB2312"/>
          <w:sz w:val="32"/>
          <w:szCs w:val="32"/>
          <w:lang w:val="en-US" w:eastAsia="zh-CN"/>
        </w:rPr>
        <w:t>2023年，民权县财政局按照贯彻落实中央八项规定实施细则精神和省市落实办法精神联席会议成员单位分工，积极发挥财政职能作用，认真贯彻执行</w:t>
      </w:r>
      <w:r>
        <w:rPr>
          <w:rFonts w:hint="default" w:ascii="仿宋_GB2312" w:eastAsia="仿宋_GB2312"/>
          <w:sz w:val="32"/>
          <w:szCs w:val="32"/>
          <w:lang w:val="en-US" w:eastAsia="zh-CN"/>
        </w:rPr>
        <w:t>中央八项规定</w:t>
      </w:r>
      <w:r>
        <w:rPr>
          <w:rFonts w:hint="eastAsia" w:ascii="仿宋_GB2312" w:eastAsia="仿宋_GB2312"/>
          <w:sz w:val="32"/>
          <w:szCs w:val="32"/>
          <w:lang w:val="en-US" w:eastAsia="zh-CN"/>
        </w:rPr>
        <w:t>实施细则</w:t>
      </w:r>
      <w:r>
        <w:rPr>
          <w:rFonts w:hint="default" w:ascii="仿宋_GB2312" w:eastAsia="仿宋_GB2312"/>
          <w:sz w:val="32"/>
          <w:szCs w:val="32"/>
          <w:lang w:val="en-US" w:eastAsia="zh-CN"/>
        </w:rPr>
        <w:t>和省市</w:t>
      </w:r>
      <w:r>
        <w:rPr>
          <w:rFonts w:hint="eastAsia" w:ascii="仿宋_GB2312" w:eastAsia="仿宋_GB2312"/>
          <w:sz w:val="32"/>
          <w:szCs w:val="32"/>
          <w:lang w:val="en-US" w:eastAsia="zh-CN"/>
        </w:rPr>
        <w:t>落实办法</w:t>
      </w:r>
      <w:r>
        <w:rPr>
          <w:rFonts w:hint="default" w:ascii="仿宋_GB2312" w:eastAsia="仿宋_GB2312"/>
          <w:sz w:val="32"/>
          <w:szCs w:val="32"/>
          <w:lang w:val="en-US" w:eastAsia="zh-CN"/>
        </w:rPr>
        <w:t>等文件精神</w:t>
      </w:r>
      <w:r>
        <w:rPr>
          <w:rFonts w:hint="eastAsia" w:ascii="仿宋_GB2312" w:eastAsia="仿宋_GB2312"/>
          <w:sz w:val="32"/>
          <w:szCs w:val="32"/>
          <w:lang w:val="en-US" w:eastAsia="zh-CN"/>
        </w:rPr>
        <w:t>，加强公务支出管理，进一步</w:t>
      </w:r>
      <w:r>
        <w:rPr>
          <w:rFonts w:hint="default" w:ascii="仿宋_GB2312" w:eastAsia="仿宋_GB2312"/>
          <w:sz w:val="32"/>
          <w:szCs w:val="32"/>
          <w:lang w:val="en-US" w:eastAsia="zh-CN"/>
        </w:rPr>
        <w:t>健全厉行节约反对浪费长效机制</w:t>
      </w:r>
      <w:r>
        <w:rPr>
          <w:rFonts w:hint="eastAsia" w:ascii="仿宋_GB2312" w:eastAsia="仿宋_GB2312"/>
          <w:sz w:val="32"/>
          <w:szCs w:val="32"/>
          <w:lang w:val="en-US" w:eastAsia="zh-CN"/>
        </w:rPr>
        <w:t>，</w:t>
      </w:r>
      <w:r>
        <w:rPr>
          <w:rFonts w:hint="default" w:ascii="仿宋_GB2312" w:eastAsia="仿宋_GB2312"/>
          <w:sz w:val="32"/>
          <w:szCs w:val="32"/>
          <w:lang w:val="en-US" w:eastAsia="zh-CN"/>
        </w:rPr>
        <w:t>切实将中央和省委、省政府有关规定落实到预算编制、预算执行和财政管理中。</w:t>
      </w:r>
      <w:r>
        <w:rPr>
          <w:rFonts w:hint="eastAsia" w:ascii="仿宋_GB2312" w:eastAsia="仿宋_GB2312"/>
          <w:sz w:val="32"/>
          <w:szCs w:val="32"/>
          <w:lang w:val="en-US" w:eastAsia="zh-CN"/>
        </w:rPr>
        <w:t>严格对照省委巡视组巡视反馈意见，认真研究整改措施，切实</w:t>
      </w:r>
      <w:r>
        <w:rPr>
          <w:rFonts w:hint="default" w:ascii="仿宋_GB2312" w:eastAsia="仿宋_GB2312"/>
          <w:sz w:val="32"/>
          <w:szCs w:val="32"/>
          <w:lang w:val="en-US" w:eastAsia="zh-CN"/>
        </w:rPr>
        <w:t>发挥财政源头管控作用，</w:t>
      </w:r>
      <w:r>
        <w:rPr>
          <w:rFonts w:hint="eastAsia" w:ascii="仿宋_GB2312" w:eastAsia="仿宋_GB2312"/>
          <w:sz w:val="32"/>
          <w:szCs w:val="32"/>
          <w:lang w:val="en-US" w:eastAsia="zh-CN"/>
        </w:rPr>
        <w:t>坚决防止“四风”反弹回潮。</w:t>
      </w:r>
    </w:p>
    <w:p w14:paraId="5F239746">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一、加强“三公经费”预算管理</w:t>
      </w:r>
    </w:p>
    <w:p w14:paraId="1EC7721A">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一是严格按经济分类编制“三公经费”支出预算。各部门根据以前年度“三公经费”支出情况，结合预算年度工作任务和重点，细化“三公经费”预算，科学合理核定。二是严格控制“三公经费”支出。对各部门申报的因公出国（境）经费进行严格控制，未经外事部门批准一律不允许列入预算。严格执行公务用车编制管理规定和配备使用标准，各部门（单位）除执法执勤、机要通信、应急和特种专业技术用车以及按规定确需配备车辆外，不得编列公务用车购置经费。严格控制公务接待费用支出，公务接待严格按规定实行工作餐，提倡自助餐，建立健全和严格执行定点接待制度。“三公经费”支出中，凡涉及政府采购的，要编制政府采购预算。三是加强源头控制，确保“三公经费”支出只减不增。</w:t>
      </w:r>
    </w:p>
    <w:p w14:paraId="6D56DA05">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二、严控“三公经费”</w:t>
      </w:r>
    </w:p>
    <w:p w14:paraId="253A4726">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县财政认真贯彻落实中央八项规定实施细则和省市落实办法精神，强化支出管理，</w:t>
      </w:r>
      <w:r>
        <w:rPr>
          <w:rFonts w:hint="default" w:ascii="仿宋_GB2312" w:eastAsia="仿宋_GB2312"/>
          <w:sz w:val="32"/>
          <w:szCs w:val="32"/>
          <w:lang w:val="en-US" w:eastAsia="zh-CN"/>
        </w:rPr>
        <w:t>加强“三公经费”</w:t>
      </w:r>
      <w:r>
        <w:rPr>
          <w:rFonts w:hint="eastAsia" w:ascii="仿宋_GB2312" w:eastAsia="仿宋_GB2312"/>
          <w:sz w:val="32"/>
          <w:szCs w:val="32"/>
          <w:lang w:val="en-US" w:eastAsia="zh-CN"/>
        </w:rPr>
        <w:t>和会议费</w:t>
      </w:r>
      <w:r>
        <w:rPr>
          <w:rFonts w:hint="default" w:ascii="仿宋_GB2312" w:eastAsia="仿宋_GB2312"/>
          <w:sz w:val="32"/>
          <w:szCs w:val="32"/>
          <w:lang w:val="en-US" w:eastAsia="zh-CN"/>
        </w:rPr>
        <w:t>支出审核</w:t>
      </w:r>
      <w:r>
        <w:rPr>
          <w:rFonts w:hint="eastAsia" w:ascii="仿宋_GB2312" w:eastAsia="仿宋_GB2312"/>
          <w:sz w:val="32"/>
          <w:szCs w:val="32"/>
          <w:lang w:val="en-US" w:eastAsia="zh-CN"/>
        </w:rPr>
        <w:t>。一是加强因公出国（境）经费管理。按照《财政部、外交部关于印发&lt;因公临时出国经费管理办法&gt;的通知》精神，建立因公临时出国经费审核制度，规范经费报销手续。县级领导干部出访产生的国内差旅费，严格按照现行差旅费规定标准由所在单位报销。二是加强车辆购置和运行费用支出管理。严格按照编制内实有车辆数量供给车辆燃修费；从严控制车辆购置，规范审批程序，严格执行规定配备标准，实行购车价格和排气量双控制。三是加强接待费管理。认真落实《民权县接待经费管理办法》，严格执行接待标准，加强公务接待费管理，节约公务接待费支出。巩固“公务灶”建设成果，严格规范接待范围、审批程序及费用管理工作，加强对市直单位接待费用的监督管理。</w:t>
      </w:r>
    </w:p>
    <w:p w14:paraId="098D7DA3">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三、创新方式，强化</w:t>
      </w:r>
      <w:r>
        <w:rPr>
          <w:rFonts w:hint="default" w:ascii="仿宋_GB2312" w:eastAsia="仿宋_GB2312"/>
          <w:b/>
          <w:bCs/>
          <w:sz w:val="32"/>
          <w:szCs w:val="32"/>
          <w:lang w:val="en-US" w:eastAsia="zh-CN"/>
        </w:rPr>
        <w:t>监督检查</w:t>
      </w:r>
    </w:p>
    <w:p w14:paraId="5286A817">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一是认真落实公务卡结算制度，要求县直预算单位严格按照《县直预算单位公务卡强制结算目录》刷卡消费，用公务卡或转账结算，应刷尽刷，提高公务卡使用率。二是认真落实“三公经费”统计月报制度，强化“三公经费”执行和监管。严格执行“三公经费”和会议费统计月报制度，跟踪分析费用增减变动原因，及时发现问题，加强对行政经费的监督力度，提高财政资金使用效益。三是加大监督检查力度。县财政局会同审计、纪委监察委等部门，不定期地对县直部门“三公经费”管理和使用情况进行监督检查，发现问题限期要求整改，该调账的调账，该收缴的上缴国库。并依据有关法规和规章制度追究有关单位和个人的行政责任，涉嫌犯罪的，依法移送司法机关处理。四是</w:t>
      </w:r>
      <w:r>
        <w:rPr>
          <w:rFonts w:hint="default" w:ascii="仿宋_GB2312" w:eastAsia="仿宋_GB2312"/>
          <w:sz w:val="32"/>
          <w:szCs w:val="32"/>
          <w:lang w:val="en-US" w:eastAsia="zh-CN"/>
        </w:rPr>
        <w:t>推进</w:t>
      </w:r>
      <w:r>
        <w:rPr>
          <w:rFonts w:hint="eastAsia" w:ascii="仿宋_GB2312" w:eastAsia="仿宋_GB2312"/>
          <w:sz w:val="32"/>
          <w:szCs w:val="32"/>
          <w:lang w:val="en-US" w:eastAsia="zh-CN"/>
        </w:rPr>
        <w:t>预决算</w:t>
      </w:r>
      <w:r>
        <w:rPr>
          <w:rFonts w:hint="default" w:ascii="仿宋_GB2312" w:eastAsia="仿宋_GB2312"/>
          <w:sz w:val="32"/>
          <w:szCs w:val="32"/>
          <w:lang w:val="en-US" w:eastAsia="zh-CN"/>
        </w:rPr>
        <w:t>信息公开。严格按照中央、省有关财政信息公开的要求，</w:t>
      </w:r>
      <w:r>
        <w:rPr>
          <w:rFonts w:hint="eastAsia" w:ascii="仿宋_GB2312" w:eastAsia="仿宋_GB2312"/>
          <w:sz w:val="32"/>
          <w:szCs w:val="32"/>
          <w:lang w:val="en-US" w:eastAsia="zh-CN"/>
        </w:rPr>
        <w:t>及时、</w:t>
      </w:r>
      <w:r>
        <w:rPr>
          <w:rFonts w:hint="default" w:ascii="仿宋_GB2312" w:eastAsia="仿宋_GB2312"/>
          <w:sz w:val="32"/>
          <w:szCs w:val="32"/>
          <w:lang w:val="en-US" w:eastAsia="zh-CN"/>
        </w:rPr>
        <w:t>全面公开“三公经费”预决算，</w:t>
      </w:r>
      <w:r>
        <w:rPr>
          <w:rFonts w:hint="eastAsia" w:ascii="仿宋_GB2312" w:eastAsia="仿宋_GB2312"/>
          <w:sz w:val="32"/>
          <w:szCs w:val="32"/>
          <w:lang w:val="en-US" w:eastAsia="zh-CN"/>
        </w:rPr>
        <w:t>规范公开格式，细化公开内容，统一公开平台，不断增强预决算公开的及时性、准确性。进一步改进公开方式方法，对专业名词进行解释，</w:t>
      </w:r>
      <w:r>
        <w:rPr>
          <w:rFonts w:hint="default" w:ascii="仿宋_GB2312" w:eastAsia="仿宋_GB2312"/>
          <w:sz w:val="32"/>
          <w:szCs w:val="32"/>
          <w:lang w:val="en-US" w:eastAsia="zh-CN"/>
        </w:rPr>
        <w:t>详细说明增减变化情况</w:t>
      </w:r>
      <w:r>
        <w:rPr>
          <w:rFonts w:hint="eastAsia" w:ascii="仿宋_GB2312" w:eastAsia="仿宋_GB2312"/>
          <w:sz w:val="32"/>
          <w:szCs w:val="32"/>
          <w:lang w:val="en-US" w:eastAsia="zh-CN"/>
        </w:rPr>
        <w:t>，让群众看得懂，方便社会各界监督。</w:t>
      </w:r>
    </w:p>
    <w:p w14:paraId="1FAFC12D">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right="0" w:rightChars="0" w:firstLine="643" w:firstLineChars="200"/>
        <w:textAlignment w:val="auto"/>
        <w:outlineLvl w:val="9"/>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四、2023年三公经费具体科目执行情况</w:t>
      </w:r>
    </w:p>
    <w:p w14:paraId="42738EA3">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2023年度</w:t>
      </w:r>
      <w:r>
        <w:rPr>
          <w:rFonts w:hint="default" w:ascii="仿宋_GB2312" w:eastAsia="仿宋_GB2312"/>
          <w:sz w:val="32"/>
          <w:szCs w:val="32"/>
          <w:lang w:val="en-US" w:eastAsia="zh-CN"/>
        </w:rPr>
        <w:t>“</w:t>
      </w:r>
      <w:r>
        <w:rPr>
          <w:rFonts w:hint="eastAsia" w:ascii="仿宋_GB2312" w:eastAsia="仿宋_GB2312"/>
          <w:sz w:val="32"/>
          <w:szCs w:val="32"/>
          <w:lang w:val="en-US" w:eastAsia="zh-CN"/>
        </w:rPr>
        <w:t>三公</w:t>
      </w:r>
      <w:r>
        <w:rPr>
          <w:rFonts w:hint="default" w:ascii="仿宋_GB2312" w:eastAsia="仿宋_GB2312"/>
          <w:sz w:val="32"/>
          <w:szCs w:val="32"/>
          <w:lang w:val="en-US" w:eastAsia="zh-CN"/>
        </w:rPr>
        <w:t>”</w:t>
      </w:r>
      <w:r>
        <w:rPr>
          <w:rFonts w:hint="eastAsia" w:ascii="仿宋_GB2312" w:eastAsia="仿宋_GB2312"/>
          <w:sz w:val="32"/>
          <w:szCs w:val="32"/>
          <w:lang w:val="en-US" w:eastAsia="zh-CN"/>
        </w:rPr>
        <w:t>经费财政拨款支出为1337.77万元，比上年同期减支371.91万元，下降21.8%。其中，因公出国（境）费支出决算0万元，无支出；公务用车购置及运行费支出决算1068.41万元，占79.9%；公务接待费支出决算269.36万元，占20.1%。</w:t>
      </w:r>
    </w:p>
    <w:p w14:paraId="303FA913">
      <w:pPr>
        <w:numPr>
          <w:ilvl w:val="0"/>
          <w:numId w:val="1"/>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因公出国（境）费用支出0万元，因公出国（境）团组数0个，因公出国（境）人次数0人。</w:t>
      </w:r>
    </w:p>
    <w:p w14:paraId="656B6F16">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2、公务用车购置及运行维护费支出1068.41万元，比上年同期增支15.34万元，增支1.5%</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sz w:val="32"/>
          <w:szCs w:val="32"/>
          <w:lang w:val="en-US" w:eastAsia="zh-CN"/>
        </w:rPr>
        <w:t>主要原因是公务用车继续压减压缩，为必要支出。</w:t>
      </w:r>
    </w:p>
    <w:p w14:paraId="0A327746">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中：公务用车购置费支出427.23万元，公务用车购置数3辆；公务用车运行维护费支出631.18万元。主要用于按规定保留的公务用车的燃料费、维修费、过桥过路费、保险费等支出。全县县直单位及乡镇财政拨款的公务用车保有量347辆。</w:t>
      </w:r>
    </w:p>
    <w:p w14:paraId="28724E9A">
      <w:p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3、国内公务接待费269.36万元，比上年同期减支387.25万元，下降59.0%。上年同期主要用于县直及乡镇各部门接收其他县区相关单位交流工作情况及接受相关部门检查指导工作发生的接待支出，今年继续压减</w:t>
      </w:r>
      <w:bookmarkStart w:id="0" w:name="_GoBack"/>
      <w:bookmarkEnd w:id="0"/>
      <w:r>
        <w:rPr>
          <w:rFonts w:hint="default" w:ascii="仿宋_GB2312" w:hAnsi="仿宋_GB2312" w:eastAsia="仿宋_GB2312" w:cs="仿宋_GB2312"/>
          <w:sz w:val="32"/>
          <w:szCs w:val="32"/>
          <w:lang w:val="en-US" w:eastAsia="zh-CN"/>
        </w:rPr>
        <w:t>“三公”经费和一般性支出</w:t>
      </w:r>
      <w:r>
        <w:rPr>
          <w:rFonts w:hint="eastAsia" w:ascii="仿宋_GB2312" w:hAnsi="仿宋_GB2312" w:eastAsia="仿宋_GB2312" w:cs="仿宋_GB2312"/>
          <w:sz w:val="32"/>
          <w:szCs w:val="32"/>
          <w:lang w:val="en-US" w:eastAsia="zh-CN"/>
        </w:rPr>
        <w:t>。全县2023年共接待国内接待批次1203次，接待人次22400人次（不包含陪同人员）。</w:t>
      </w:r>
    </w:p>
    <w:p w14:paraId="698EDD0F">
      <w:pPr>
        <w:keepNext w:val="0"/>
        <w:keepLines w:val="0"/>
        <w:pageBreakBefore w:val="0"/>
        <w:widowControl w:val="0"/>
        <w:kinsoku/>
        <w:wordWrap/>
        <w:overflowPunct/>
        <w:topLinePunct w:val="0"/>
        <w:autoSpaceDE/>
        <w:autoSpaceDN/>
        <w:bidi w:val="0"/>
        <w:adjustRightInd w:val="0"/>
        <w:snapToGrid w:val="0"/>
        <w:spacing w:before="0" w:beforeLines="0" w:after="0" w:afterLines="0" w:line="600" w:lineRule="exact"/>
        <w:ind w:left="0" w:leftChars="0" w:right="0" w:rightChars="0" w:firstLine="645"/>
        <w:textAlignment w:val="auto"/>
        <w:outlineLvl w:val="9"/>
        <w:rPr>
          <w:rFonts w:hint="eastAsia" w:ascii="仿宋_GB2312" w:eastAsia="仿宋_GB2312"/>
          <w:sz w:val="32"/>
          <w:szCs w:val="32"/>
          <w:lang w:val="en-US" w:eastAsia="zh-CN"/>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å¾®è½¯é›…é»‘">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B9D73">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2</w:t>
    </w:r>
    <w:r>
      <w:fldChar w:fldCharType="end"/>
    </w:r>
  </w:p>
  <w:p w14:paraId="07388B03">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DB0D3">
    <w:pPr>
      <w:pStyle w:val="3"/>
      <w:framePr w:wrap="around" w:vAnchor="text" w:hAnchor="margin" w:xAlign="right" w:y="1"/>
      <w:rPr>
        <w:rStyle w:val="6"/>
      </w:rPr>
    </w:pPr>
    <w:r>
      <w:fldChar w:fldCharType="begin"/>
    </w:r>
    <w:r>
      <w:rPr>
        <w:rStyle w:val="6"/>
      </w:rPr>
      <w:instrText xml:space="preserve">PAGE  </w:instrText>
    </w:r>
    <w:r>
      <w:fldChar w:fldCharType="end"/>
    </w:r>
  </w:p>
  <w:p w14:paraId="48451669">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BCD060"/>
    <w:multiLevelType w:val="singleLevel"/>
    <w:tmpl w:val="65BCD06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jMjMyMTY3OTFhZmExZjc5MTQ4ZmZkN2YyMzJiODEifQ=="/>
  </w:docVars>
  <w:rsids>
    <w:rsidRoot w:val="00C33840"/>
    <w:rsid w:val="00520AB2"/>
    <w:rsid w:val="00BC35AF"/>
    <w:rsid w:val="00C33840"/>
    <w:rsid w:val="00D5664B"/>
    <w:rsid w:val="00D75FC1"/>
    <w:rsid w:val="00E31096"/>
    <w:rsid w:val="00E65E8E"/>
    <w:rsid w:val="00FC25AF"/>
    <w:rsid w:val="01380302"/>
    <w:rsid w:val="052F43DA"/>
    <w:rsid w:val="0A50195F"/>
    <w:rsid w:val="0E8D7B7E"/>
    <w:rsid w:val="14F90946"/>
    <w:rsid w:val="20AF42F5"/>
    <w:rsid w:val="22C9082D"/>
    <w:rsid w:val="247F2A28"/>
    <w:rsid w:val="262527E4"/>
    <w:rsid w:val="29612502"/>
    <w:rsid w:val="2D491574"/>
    <w:rsid w:val="304F406D"/>
    <w:rsid w:val="31156F82"/>
    <w:rsid w:val="39D0279D"/>
    <w:rsid w:val="3AC04B6C"/>
    <w:rsid w:val="3C2D63F3"/>
    <w:rsid w:val="3FBB186A"/>
    <w:rsid w:val="4B023B45"/>
    <w:rsid w:val="4C053FD3"/>
    <w:rsid w:val="526F0142"/>
    <w:rsid w:val="556562DF"/>
    <w:rsid w:val="589774EB"/>
    <w:rsid w:val="58B212A7"/>
    <w:rsid w:val="598F36B5"/>
    <w:rsid w:val="5DF960D7"/>
    <w:rsid w:val="5E255D89"/>
    <w:rsid w:val="611A00A3"/>
    <w:rsid w:val="694E35D6"/>
    <w:rsid w:val="6D5D421F"/>
    <w:rsid w:val="6DCB4419"/>
    <w:rsid w:val="6E945A36"/>
    <w:rsid w:val="75142879"/>
    <w:rsid w:val="7C336B4F"/>
    <w:rsid w:val="7E91269B"/>
    <w:rsid w:val="7F514044"/>
    <w:rsid w:val="7FF473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1770</Words>
  <Characters>1864</Characters>
  <Lines>7</Lines>
  <Paragraphs>2</Paragraphs>
  <TotalTime>137</TotalTime>
  <ScaleCrop>false</ScaleCrop>
  <LinksUpToDate>false</LinksUpToDate>
  <CharactersWithSpaces>1864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2017-10-30T03:21:00Z</dcterms:created>
  <dc:creator>X</dc:creator>
  <cp:lastModifiedBy>ZY</cp:lastModifiedBy>
  <cp:lastPrinted>2017-10-30T03:45:00Z</cp:lastPrinted>
  <dcterms:modified xsi:type="dcterms:W3CDTF">2024-10-16T08:53:13Z</dcterms:modified>
  <dc:title>关于“三公”经费执行情况的说明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56922C3D623A40AAB1D9A6FD619A49E4_13</vt:lpwstr>
  </property>
</Properties>
</file>