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78D73">
      <w:pPr>
        <w:spacing w:line="360" w:lineRule="auto"/>
        <w:ind w:firstLine="240" w:firstLineChars="100"/>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审批意见                                        </w:t>
      </w:r>
      <w:r>
        <w:rPr>
          <w:rFonts w:hint="eastAsia" w:ascii="宋体" w:hAnsi="宋体" w:eastAsia="宋体" w:cs="宋体"/>
          <w:b w:val="0"/>
          <w:bCs/>
          <w:color w:val="auto"/>
          <w:sz w:val="24"/>
          <w:szCs w:val="24"/>
          <w:lang w:val="en-US" w:eastAsia="zh-CN"/>
        </w:rPr>
        <w:t xml:space="preserve"> </w:t>
      </w:r>
      <w:r>
        <w:rPr>
          <w:rFonts w:hint="eastAsia" w:ascii="宋体" w:hAnsi="宋体" w:cs="宋体"/>
          <w:b w:val="0"/>
          <w:bCs/>
          <w:color w:val="auto"/>
          <w:sz w:val="24"/>
          <w:szCs w:val="24"/>
          <w:lang w:val="en-US" w:eastAsia="zh-CN"/>
        </w:rPr>
        <w:t xml:space="preserve"> </w:t>
      </w:r>
      <w:r>
        <w:rPr>
          <w:rFonts w:hint="eastAsia" w:ascii="宋体" w:hAnsi="宋体" w:eastAsia="宋体" w:cs="宋体"/>
          <w:b w:val="0"/>
          <w:bCs/>
          <w:color w:val="auto"/>
          <w:sz w:val="24"/>
          <w:szCs w:val="24"/>
          <w:lang w:val="en-US" w:eastAsia="zh-CN"/>
        </w:rPr>
        <w:t>民环审[202</w:t>
      </w:r>
      <w:r>
        <w:rPr>
          <w:rFonts w:hint="eastAsia" w:ascii="宋体" w:hAnsi="宋体" w:cs="宋体"/>
          <w:b w:val="0"/>
          <w:bCs/>
          <w:color w:val="auto"/>
          <w:sz w:val="24"/>
          <w:szCs w:val="24"/>
          <w:lang w:val="en-US" w:eastAsia="zh-CN"/>
        </w:rPr>
        <w:t>6</w:t>
      </w:r>
      <w:r>
        <w:rPr>
          <w:rFonts w:hint="eastAsia" w:ascii="宋体" w:hAnsi="宋体" w:eastAsia="宋体" w:cs="宋体"/>
          <w:b w:val="0"/>
          <w:bCs/>
          <w:color w:val="auto"/>
          <w:sz w:val="24"/>
          <w:szCs w:val="24"/>
          <w:lang w:val="en-US" w:eastAsia="zh-CN"/>
        </w:rPr>
        <w:t>]第</w:t>
      </w:r>
      <w:r>
        <w:rPr>
          <w:rFonts w:hint="eastAsia" w:ascii="宋体" w:hAnsi="宋体" w:cs="宋体"/>
          <w:b w:val="0"/>
          <w:bCs/>
          <w:color w:val="auto"/>
          <w:sz w:val="24"/>
          <w:szCs w:val="24"/>
          <w:lang w:val="en-US" w:eastAsia="zh-CN"/>
        </w:rPr>
        <w:t>003</w:t>
      </w:r>
      <w:r>
        <w:rPr>
          <w:rFonts w:hint="eastAsia" w:ascii="宋体" w:hAnsi="宋体" w:eastAsia="宋体" w:cs="宋体"/>
          <w:b w:val="0"/>
          <w:bCs/>
          <w:color w:val="auto"/>
          <w:sz w:val="24"/>
          <w:szCs w:val="24"/>
          <w:lang w:val="en-US" w:eastAsia="zh-CN"/>
        </w:rPr>
        <w:t>号</w:t>
      </w:r>
    </w:p>
    <w:p w14:paraId="41131498">
      <w:pPr>
        <w:spacing w:line="360" w:lineRule="auto"/>
        <w:jc w:val="center"/>
        <w:rPr>
          <w:rFonts w:hint="eastAsia" w:eastAsia="黑体"/>
          <w:b/>
          <w:spacing w:val="-14"/>
          <w:sz w:val="32"/>
          <w:szCs w:val="32"/>
          <w:lang w:val="en-US" w:eastAsia="zh-CN"/>
        </w:rPr>
      </w:pPr>
    </w:p>
    <w:p w14:paraId="31092305">
      <w:pPr>
        <w:spacing w:line="360" w:lineRule="auto"/>
        <w:jc w:val="center"/>
        <w:rPr>
          <w:rFonts w:hint="eastAsia" w:asciiTheme="majorEastAsia" w:hAnsiTheme="majorEastAsia" w:eastAsiaTheme="majorEastAsia" w:cstheme="majorEastAsia"/>
          <w:b/>
          <w:spacing w:val="-14"/>
          <w:sz w:val="36"/>
          <w:szCs w:val="36"/>
        </w:rPr>
      </w:pPr>
      <w:r>
        <w:rPr>
          <w:rFonts w:hint="eastAsia" w:asciiTheme="majorEastAsia" w:hAnsiTheme="majorEastAsia" w:eastAsiaTheme="majorEastAsia" w:cstheme="majorEastAsia"/>
          <w:b/>
          <w:spacing w:val="-14"/>
          <w:sz w:val="36"/>
          <w:szCs w:val="36"/>
        </w:rPr>
        <w:t>关</w:t>
      </w:r>
      <w:r>
        <w:rPr>
          <w:rFonts w:hint="eastAsia" w:asciiTheme="majorEastAsia" w:hAnsiTheme="majorEastAsia" w:eastAsiaTheme="majorEastAsia" w:cstheme="majorEastAsia"/>
          <w:b/>
          <w:spacing w:val="-14"/>
          <w:sz w:val="36"/>
          <w:szCs w:val="36"/>
          <w:lang w:eastAsia="zh-CN"/>
        </w:rPr>
        <w:t>于</w:t>
      </w:r>
      <w:r>
        <w:rPr>
          <w:rFonts w:hint="eastAsia" w:asciiTheme="majorEastAsia" w:hAnsiTheme="majorEastAsia" w:eastAsiaTheme="majorEastAsia" w:cstheme="majorEastAsia"/>
          <w:b/>
          <w:spacing w:val="-14"/>
          <w:sz w:val="36"/>
          <w:szCs w:val="36"/>
          <w:lang w:val="en-US" w:eastAsia="zh-CN"/>
        </w:rPr>
        <w:t>河南环生集再生资源回收利用有限公司年处理2000吨废旧铝塑膜项目</w:t>
      </w:r>
      <w:r>
        <w:rPr>
          <w:rFonts w:hint="eastAsia" w:asciiTheme="majorEastAsia" w:hAnsiTheme="majorEastAsia" w:eastAsiaTheme="majorEastAsia" w:cstheme="majorEastAsia"/>
          <w:b/>
          <w:spacing w:val="-14"/>
          <w:sz w:val="36"/>
          <w:szCs w:val="36"/>
        </w:rPr>
        <w:t>环境影响报告表的批复</w:t>
      </w:r>
    </w:p>
    <w:p w14:paraId="1E2970D8">
      <w:pPr>
        <w:spacing w:line="360" w:lineRule="auto"/>
        <w:jc w:val="center"/>
        <w:rPr>
          <w:sz w:val="28"/>
          <w:szCs w:val="28"/>
        </w:rPr>
      </w:pPr>
    </w:p>
    <w:p w14:paraId="2633868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河南环生集再生资源有限公司：</w:t>
      </w:r>
    </w:p>
    <w:p w14:paraId="326AD8E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你公司（统一社会信用代码91411421MAETT7JR8J）报送的由河南阶梯工程管理有限公司编制完成的《河南环生集再生资源回收利用有限公司年处理2000吨废旧铝塑膜项目环境影响报告表（报批版）》（以下简称“报告表”）已收悉。项目拟审批事项已在民权县政府网站公示期满，无异议。经研究，批复如下：  </w:t>
      </w:r>
    </w:p>
    <w:p w14:paraId="694F80C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一、《报告表》内容符合国家有关法律法规要求和建设项目环境管理规定，评价结论可信，原则同意你公司按照《报告表》所列项目的性质、规模、地点、采用的生产工艺和环境保护对策进行项目建设。</w:t>
      </w:r>
    </w:p>
    <w:p w14:paraId="6850E34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二、你公司应向社会主动公开经批准的《报告表》，并接受相关方的咨询。</w:t>
      </w:r>
    </w:p>
    <w:p w14:paraId="6970947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三、你公司应全面落实《报告表》提出的各项目环境保护措施，确保各项环境保护设施与主体工程同时设计、同时施工、同时投入使用，确保各项污染物达标排放。</w:t>
      </w:r>
    </w:p>
    <w:p w14:paraId="7780838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（一）向设计单位提供《报告表》和本批复文件，确保项目设计按照环境保护设计规范要求，落实防治环境污染和生态破坏的措施以及环保设施投资概算。</w:t>
      </w:r>
    </w:p>
    <w:p w14:paraId="4DF10646">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（二）依据《报告表》和本批复文件，对项目建设过程中产生的废水、废气、固体废物、噪声等污染，以及因施工对自然、生态环境造成的破坏，采取相应的防治措施。</w:t>
      </w:r>
    </w:p>
    <w:p w14:paraId="05AEA01C">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（三）项目运行时，外排污染物应满足以下要求：</w:t>
      </w:r>
    </w:p>
    <w:p w14:paraId="010DBF7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1、废水：（1）生活污水经化粪池处理后用于农田施肥；（2）冷却水循环使用；（3）热裂解废水喷入热裂解炉燃烧室内燃烧，废水不得外排。</w:t>
      </w:r>
    </w:p>
    <w:p w14:paraId="6708799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2</w:t>
      </w:r>
      <w:r>
        <w:rPr>
          <w:rFonts w:hint="default" w:ascii="仿宋" w:hAnsi="仿宋" w:eastAsia="仿宋" w:cs="Times New Roman"/>
          <w:sz w:val="24"/>
          <w:szCs w:val="24"/>
          <w:lang w:eastAsia="zh-CN"/>
        </w:rPr>
        <w:t>、废气：</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1）原料使用为未经污染的食品包装铝塑袋，不得使用轮胎、聚氯乙烯等其他塑料</w:t>
      </w:r>
      <w:r>
        <w:rPr>
          <w:rFonts w:hint="eastAsia" w:ascii="仿宋" w:hAnsi="仿宋" w:eastAsia="仿宋" w:cs="Times New Roman"/>
          <w:sz w:val="24"/>
          <w:szCs w:val="24"/>
          <w:lang w:val="en-US" w:eastAsia="zh-CN"/>
        </w:rPr>
        <w:t>（2）天然气燃烧采用低氮燃烧技术；（2）生产车间全封闭处理；（3）裂解废气经干式过滤</w:t>
      </w:r>
      <w:bookmarkStart w:id="0" w:name="_GoBack"/>
      <w:bookmarkEnd w:id="0"/>
      <w:r>
        <w:rPr>
          <w:rFonts w:hint="eastAsia" w:ascii="仿宋" w:hAnsi="仿宋" w:eastAsia="仿宋" w:cs="Times New Roman"/>
          <w:sz w:val="24"/>
          <w:szCs w:val="24"/>
          <w:lang w:val="en-US" w:eastAsia="zh-CN"/>
        </w:rPr>
        <w:t>和二级活性炭吸附设施处理后，通过</w:t>
      </w:r>
      <w:r>
        <w:rPr>
          <w:rFonts w:hint="default" w:ascii="仿宋" w:hAnsi="仿宋" w:eastAsia="仿宋" w:cs="Times New Roman"/>
          <w:sz w:val="24"/>
          <w:szCs w:val="24"/>
          <w:lang w:val="en-US" w:eastAsia="zh-CN"/>
        </w:rPr>
        <w:t>15m高排气筒排放</w:t>
      </w:r>
      <w:r>
        <w:rPr>
          <w:rFonts w:hint="eastAsia" w:ascii="仿宋" w:hAnsi="仿宋" w:eastAsia="仿宋" w:cs="Times New Roman"/>
          <w:sz w:val="24"/>
          <w:szCs w:val="24"/>
          <w:lang w:val="en-US" w:eastAsia="zh-CN"/>
        </w:rPr>
        <w:t>；（4）颗粒物</w:t>
      </w:r>
      <w:r>
        <w:rPr>
          <w:rFonts w:hint="default" w:ascii="仿宋" w:hAnsi="仿宋" w:eastAsia="仿宋" w:cs="Times New Roman"/>
          <w:sz w:val="24"/>
          <w:szCs w:val="24"/>
          <w:lang w:val="en-US" w:eastAsia="zh-CN"/>
        </w:rPr>
        <w:t>集气罩收集</w:t>
      </w:r>
      <w:r>
        <w:rPr>
          <w:rFonts w:hint="eastAsia" w:ascii="仿宋" w:hAnsi="仿宋" w:eastAsia="仿宋" w:cs="Times New Roman"/>
          <w:sz w:val="24"/>
          <w:szCs w:val="24"/>
          <w:lang w:val="en-US" w:eastAsia="zh-CN"/>
        </w:rPr>
        <w:t>，经</w:t>
      </w:r>
      <w:r>
        <w:rPr>
          <w:rFonts w:hint="default" w:ascii="仿宋" w:hAnsi="仿宋" w:eastAsia="仿宋" w:cs="Times New Roman"/>
          <w:sz w:val="24"/>
          <w:szCs w:val="24"/>
          <w:lang w:val="en-US" w:eastAsia="zh-CN"/>
        </w:rPr>
        <w:t>袋式除尘器处理后</w:t>
      </w:r>
      <w:r>
        <w:rPr>
          <w:rFonts w:hint="eastAsia" w:ascii="仿宋" w:hAnsi="仿宋" w:eastAsia="仿宋" w:cs="Times New Roman"/>
          <w:sz w:val="24"/>
          <w:szCs w:val="24"/>
          <w:lang w:val="en-US" w:eastAsia="zh-CN"/>
        </w:rPr>
        <w:t>，通过</w:t>
      </w:r>
      <w:r>
        <w:rPr>
          <w:rFonts w:hint="default" w:ascii="仿宋" w:hAnsi="仿宋" w:eastAsia="仿宋" w:cs="Times New Roman"/>
          <w:sz w:val="24"/>
          <w:szCs w:val="24"/>
          <w:lang w:val="en-US" w:eastAsia="zh-CN"/>
        </w:rPr>
        <w:t>15m高排气筒排放</w:t>
      </w:r>
      <w:r>
        <w:rPr>
          <w:rFonts w:hint="eastAsia" w:ascii="仿宋" w:hAnsi="仿宋" w:eastAsia="仿宋" w:cs="Times New Roman"/>
          <w:sz w:val="24"/>
          <w:szCs w:val="24"/>
          <w:lang w:val="en-US" w:eastAsia="zh-CN"/>
        </w:rPr>
        <w:t>，大气排放分别满足《大气污染物综合排放标准》(GB16297-1996)、《工业炉窑大气污染物排放标准》（DB41/1066-2020）、以及《关于全省开展工业企业挥发性有机物专项治理工作中排放建议值的通知》（豫环攻坚办〔2017〕162号）、《河南省重污染天气通用行业应急减排措施制定技术指南（2024年修订版）》相关指标要求。</w:t>
      </w:r>
    </w:p>
    <w:p w14:paraId="26716F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eastAsia="zh-CN"/>
        </w:rPr>
      </w:pPr>
      <w:r>
        <w:rPr>
          <w:rFonts w:hint="eastAsia" w:ascii="仿宋" w:hAnsi="仿宋" w:eastAsia="仿宋" w:cs="Times New Roman"/>
          <w:sz w:val="24"/>
          <w:szCs w:val="24"/>
          <w:lang w:val="en-US" w:eastAsia="zh-CN"/>
        </w:rPr>
        <w:t>3</w:t>
      </w:r>
      <w:r>
        <w:rPr>
          <w:rFonts w:hint="default" w:ascii="仿宋" w:hAnsi="仿宋" w:eastAsia="仿宋" w:cs="Times New Roman"/>
          <w:sz w:val="24"/>
          <w:szCs w:val="24"/>
          <w:lang w:eastAsia="zh-CN"/>
        </w:rPr>
        <w:t>、噪声：选用低噪声设备，采取减振、隔声等降噪措施对设备噪声进行控制，厂界噪声贡献值满足《工业企业厂界环境噪声排放标准》（GB12348-2008）</w:t>
      </w:r>
      <w:r>
        <w:rPr>
          <w:rFonts w:hint="eastAsia" w:ascii="仿宋" w:hAnsi="仿宋" w:eastAsia="仿宋" w:cs="Times New Roman"/>
          <w:sz w:val="24"/>
          <w:szCs w:val="24"/>
          <w:lang w:val="en-US" w:eastAsia="zh-CN"/>
        </w:rPr>
        <w:t>2</w:t>
      </w:r>
      <w:r>
        <w:rPr>
          <w:rFonts w:hint="default" w:ascii="仿宋" w:hAnsi="仿宋" w:eastAsia="仿宋" w:cs="Times New Roman"/>
          <w:sz w:val="24"/>
          <w:szCs w:val="24"/>
          <w:lang w:eastAsia="zh-CN"/>
        </w:rPr>
        <w:t>类标准要求。</w:t>
      </w:r>
    </w:p>
    <w:p w14:paraId="770337C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4</w:t>
      </w:r>
      <w:r>
        <w:rPr>
          <w:rFonts w:hint="default" w:ascii="仿宋" w:hAnsi="仿宋" w:eastAsia="仿宋" w:cs="Times New Roman"/>
          <w:sz w:val="24"/>
          <w:szCs w:val="24"/>
          <w:lang w:eastAsia="zh-CN"/>
        </w:rPr>
        <w:t>、固废：</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1</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一般固废收集暂存，定期外售；（2）危险废物暂存，定期交由有资质单位处理；一般固废和危险废物暂存分别满足</w:t>
      </w:r>
      <w:r>
        <w:rPr>
          <w:rFonts w:hint="default" w:ascii="仿宋" w:hAnsi="仿宋" w:eastAsia="仿宋" w:cs="Times New Roman"/>
          <w:sz w:val="24"/>
          <w:szCs w:val="24"/>
          <w:lang w:eastAsia="zh-CN"/>
        </w:rPr>
        <w:t>《一般工业固体废物贮存、处置场污染控制标准》（GB18599-2020）</w:t>
      </w:r>
      <w:r>
        <w:rPr>
          <w:rFonts w:hint="eastAsia" w:ascii="仿宋" w:hAnsi="仿宋" w:eastAsia="仿宋" w:cs="Times New Roman"/>
          <w:sz w:val="24"/>
          <w:szCs w:val="24"/>
          <w:lang w:eastAsia="zh-CN"/>
        </w:rPr>
        <w:t>、</w:t>
      </w:r>
      <w:r>
        <w:rPr>
          <w:rFonts w:hint="default" w:ascii="仿宋" w:hAnsi="仿宋" w:eastAsia="仿宋" w:cs="Times New Roman"/>
          <w:sz w:val="24"/>
          <w:szCs w:val="24"/>
          <w:lang w:val="en-US" w:eastAsia="zh-CN"/>
        </w:rPr>
        <w:t>《危险废物贮存污染控制标准》（GB18597-2023）</w:t>
      </w:r>
      <w:r>
        <w:rPr>
          <w:rFonts w:hint="default" w:ascii="仿宋" w:hAnsi="仿宋" w:eastAsia="仿宋" w:cs="Times New Roman"/>
          <w:sz w:val="24"/>
          <w:szCs w:val="24"/>
          <w:lang w:eastAsia="zh-CN"/>
        </w:rPr>
        <w:t>相关要求</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固废不得随意丢弃</w:t>
      </w:r>
      <w:r>
        <w:rPr>
          <w:rFonts w:hint="eastAsia" w:ascii="仿宋" w:hAnsi="仿宋" w:eastAsia="仿宋" w:cs="Times New Roman"/>
          <w:sz w:val="24"/>
          <w:szCs w:val="24"/>
          <w:lang w:eastAsia="zh-CN"/>
        </w:rPr>
        <w:t>。</w:t>
      </w:r>
    </w:p>
    <w:p w14:paraId="2AAB9449">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（四）本项目建设后，主要污染物排放量满足本项目主要污染物总量指标备案表控制指标要求。</w:t>
      </w:r>
    </w:p>
    <w:p w14:paraId="5BCE950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（五）如果今后国家或者我省颁布污染物排放限值的新标准，届时你单位应按新的排放标准执行。</w:t>
      </w:r>
    </w:p>
    <w:p w14:paraId="2C59ECA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四、项目建成后，按相关规定及时进行项目竣工环境保护验收。项目建设及运行过程中，由商丘市生态环境局民权分局负责项目的日常环境监管工作。</w:t>
      </w:r>
    </w:p>
    <w:p w14:paraId="2CE235F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五、本项目自批复起5年内逾期未开工建设，其环境影响报告表应报我局重新审核。项目的性质、规模、地点、采用的生产工艺或防治污染、防止生态破坏的措施发生重大变动的，应当重新报批项目的环境影响评价文件。</w:t>
      </w:r>
    </w:p>
    <w:p w14:paraId="70ABB76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六、对此批复若存有异议，可自该批复下达之日起60日内向河南省环保厅、商丘市生态环境局或民权县人民政府申请复议，逾期复议无效。</w:t>
      </w:r>
    </w:p>
    <w:p w14:paraId="44CD7FE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val="en-US" w:eastAsia="zh-CN"/>
        </w:rPr>
      </w:pPr>
    </w:p>
    <w:p w14:paraId="378A48E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val="en-US" w:eastAsia="zh-CN"/>
        </w:rPr>
      </w:pPr>
    </w:p>
    <w:p w14:paraId="7DB63836">
      <w:pPr>
        <w:keepNext w:val="0"/>
        <w:keepLines w:val="0"/>
        <w:pageBreakBefore w:val="0"/>
        <w:widowControl w:val="0"/>
        <w:kinsoku/>
        <w:wordWrap/>
        <w:overflowPunct/>
        <w:topLinePunct w:val="0"/>
        <w:autoSpaceDE/>
        <w:autoSpaceDN/>
        <w:bidi w:val="0"/>
        <w:adjustRightInd w:val="0"/>
        <w:snapToGrid w:val="0"/>
        <w:spacing w:line="440" w:lineRule="exact"/>
        <w:ind w:firstLine="6480" w:firstLineChars="27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盖章</w:t>
      </w:r>
    </w:p>
    <w:p w14:paraId="42F9281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sz w:val="24"/>
          <w:szCs w:val="24"/>
          <w:lang w:val="en-US" w:eastAsia="zh-CN"/>
        </w:rPr>
        <w:t xml:space="preserve">                                               </w:t>
      </w:r>
      <w:r>
        <w:rPr>
          <w:rFonts w:hint="eastAsia" w:ascii="仿宋" w:hAnsi="仿宋" w:eastAsia="仿宋" w:cs="Times New Roman"/>
          <w:color w:val="auto"/>
          <w:sz w:val="24"/>
          <w:szCs w:val="24"/>
          <w:lang w:val="en-US" w:eastAsia="zh-CN"/>
        </w:rPr>
        <w:t xml:space="preserve">  2026年3月25日</w:t>
      </w:r>
    </w:p>
    <w:p w14:paraId="2C033512">
      <w:pPr>
        <w:keepNext w:val="0"/>
        <w:keepLines w:val="0"/>
        <w:pageBreakBefore w:val="0"/>
        <w:widowControl w:val="0"/>
        <w:kinsoku/>
        <w:wordWrap/>
        <w:overflowPunct/>
        <w:topLinePunct w:val="0"/>
        <w:autoSpaceDE/>
        <w:autoSpaceDN/>
        <w:bidi w:val="0"/>
        <w:adjustRightInd w:val="0"/>
        <w:snapToGrid w:val="0"/>
        <w:spacing w:line="440" w:lineRule="exact"/>
        <w:ind w:firstLine="6090" w:firstLineChars="2900"/>
        <w:textAlignment w:val="auto"/>
      </w:pPr>
    </w:p>
    <w:sectPr>
      <w:pgSz w:w="11906" w:h="16838"/>
      <w:pgMar w:top="1588" w:right="1474" w:bottom="136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_x0002_">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hMjViYmUzMzVlM2I4NzZhMjFlMTczM2YxMzQxMTQifQ=="/>
  </w:docVars>
  <w:rsids>
    <w:rsidRoot w:val="02F72450"/>
    <w:rsid w:val="00000196"/>
    <w:rsid w:val="00002FE5"/>
    <w:rsid w:val="000826E0"/>
    <w:rsid w:val="0009411E"/>
    <w:rsid w:val="000C7936"/>
    <w:rsid w:val="000D0072"/>
    <w:rsid w:val="000D6213"/>
    <w:rsid w:val="000E2394"/>
    <w:rsid w:val="00114960"/>
    <w:rsid w:val="00137DE5"/>
    <w:rsid w:val="00172393"/>
    <w:rsid w:val="00175A80"/>
    <w:rsid w:val="001E5474"/>
    <w:rsid w:val="002035E9"/>
    <w:rsid w:val="0023520D"/>
    <w:rsid w:val="002A404E"/>
    <w:rsid w:val="002B13AB"/>
    <w:rsid w:val="002F1077"/>
    <w:rsid w:val="003014B1"/>
    <w:rsid w:val="003955E9"/>
    <w:rsid w:val="003E3E4B"/>
    <w:rsid w:val="003E3E90"/>
    <w:rsid w:val="00425F79"/>
    <w:rsid w:val="00465F79"/>
    <w:rsid w:val="004824B1"/>
    <w:rsid w:val="00483ED3"/>
    <w:rsid w:val="004E7FCF"/>
    <w:rsid w:val="004F7F1C"/>
    <w:rsid w:val="0052539C"/>
    <w:rsid w:val="00575373"/>
    <w:rsid w:val="006177C6"/>
    <w:rsid w:val="0064136E"/>
    <w:rsid w:val="00653A8C"/>
    <w:rsid w:val="006B2190"/>
    <w:rsid w:val="006E5D8B"/>
    <w:rsid w:val="00702B2D"/>
    <w:rsid w:val="00716C75"/>
    <w:rsid w:val="007510DD"/>
    <w:rsid w:val="00752A3F"/>
    <w:rsid w:val="00773AA5"/>
    <w:rsid w:val="00777949"/>
    <w:rsid w:val="00785EC0"/>
    <w:rsid w:val="007A1B2D"/>
    <w:rsid w:val="007E11E7"/>
    <w:rsid w:val="0083127E"/>
    <w:rsid w:val="00871CC8"/>
    <w:rsid w:val="008B1FCE"/>
    <w:rsid w:val="008F5F29"/>
    <w:rsid w:val="00924F32"/>
    <w:rsid w:val="009A3A33"/>
    <w:rsid w:val="009B0E83"/>
    <w:rsid w:val="009B61EC"/>
    <w:rsid w:val="009C456F"/>
    <w:rsid w:val="00A42BDD"/>
    <w:rsid w:val="00A6136A"/>
    <w:rsid w:val="00A83DFF"/>
    <w:rsid w:val="00A8688A"/>
    <w:rsid w:val="00A93E01"/>
    <w:rsid w:val="00AC211F"/>
    <w:rsid w:val="00B71152"/>
    <w:rsid w:val="00B82A97"/>
    <w:rsid w:val="00B95A86"/>
    <w:rsid w:val="00C00B05"/>
    <w:rsid w:val="00C33CD7"/>
    <w:rsid w:val="00C60A64"/>
    <w:rsid w:val="00CE5BB2"/>
    <w:rsid w:val="00D277F4"/>
    <w:rsid w:val="00D476BE"/>
    <w:rsid w:val="00D83101"/>
    <w:rsid w:val="00DC090E"/>
    <w:rsid w:val="00DC4F51"/>
    <w:rsid w:val="00DE75C1"/>
    <w:rsid w:val="00DF3F1F"/>
    <w:rsid w:val="00DF5060"/>
    <w:rsid w:val="00E02BC4"/>
    <w:rsid w:val="00E50552"/>
    <w:rsid w:val="00E75163"/>
    <w:rsid w:val="011253ED"/>
    <w:rsid w:val="018A1427"/>
    <w:rsid w:val="02022B0D"/>
    <w:rsid w:val="021B6523"/>
    <w:rsid w:val="025F096E"/>
    <w:rsid w:val="02623E47"/>
    <w:rsid w:val="02816CCE"/>
    <w:rsid w:val="028440C8"/>
    <w:rsid w:val="02B26D96"/>
    <w:rsid w:val="02D533E0"/>
    <w:rsid w:val="02F72450"/>
    <w:rsid w:val="03600692"/>
    <w:rsid w:val="037338AD"/>
    <w:rsid w:val="03922815"/>
    <w:rsid w:val="04ED7FD0"/>
    <w:rsid w:val="04F25C61"/>
    <w:rsid w:val="06600C79"/>
    <w:rsid w:val="076B5857"/>
    <w:rsid w:val="09104908"/>
    <w:rsid w:val="0A6062C7"/>
    <w:rsid w:val="0A607E53"/>
    <w:rsid w:val="0AB063A2"/>
    <w:rsid w:val="0C9D65C0"/>
    <w:rsid w:val="0D9F26FE"/>
    <w:rsid w:val="0DDD6D83"/>
    <w:rsid w:val="0EE243C8"/>
    <w:rsid w:val="0EEC1973"/>
    <w:rsid w:val="114105BA"/>
    <w:rsid w:val="117E6080"/>
    <w:rsid w:val="11F36B75"/>
    <w:rsid w:val="1414714B"/>
    <w:rsid w:val="15227167"/>
    <w:rsid w:val="159266A5"/>
    <w:rsid w:val="15BA47FB"/>
    <w:rsid w:val="16027570"/>
    <w:rsid w:val="17620A24"/>
    <w:rsid w:val="19E842F0"/>
    <w:rsid w:val="1A187EFA"/>
    <w:rsid w:val="1A1C5430"/>
    <w:rsid w:val="1B027E29"/>
    <w:rsid w:val="1B7C72FE"/>
    <w:rsid w:val="1BB76E65"/>
    <w:rsid w:val="1DD91315"/>
    <w:rsid w:val="1E1467F1"/>
    <w:rsid w:val="1E3D7D5E"/>
    <w:rsid w:val="1E9D0594"/>
    <w:rsid w:val="1F316F2E"/>
    <w:rsid w:val="1FFC7619"/>
    <w:rsid w:val="2228557D"/>
    <w:rsid w:val="22DB168B"/>
    <w:rsid w:val="22EF3C30"/>
    <w:rsid w:val="2340208E"/>
    <w:rsid w:val="23FF584D"/>
    <w:rsid w:val="24675571"/>
    <w:rsid w:val="258A7653"/>
    <w:rsid w:val="260B672B"/>
    <w:rsid w:val="26712C1A"/>
    <w:rsid w:val="26A57FF8"/>
    <w:rsid w:val="26B02E2F"/>
    <w:rsid w:val="28866D03"/>
    <w:rsid w:val="299A67A7"/>
    <w:rsid w:val="2A44255A"/>
    <w:rsid w:val="2AB73F88"/>
    <w:rsid w:val="2B057BED"/>
    <w:rsid w:val="2BC43604"/>
    <w:rsid w:val="2BE42D87"/>
    <w:rsid w:val="2CB22407"/>
    <w:rsid w:val="2EDA313F"/>
    <w:rsid w:val="2EE543BC"/>
    <w:rsid w:val="2FCE5C86"/>
    <w:rsid w:val="30036FC8"/>
    <w:rsid w:val="30077F63"/>
    <w:rsid w:val="30C61BCC"/>
    <w:rsid w:val="314666AE"/>
    <w:rsid w:val="31857392"/>
    <w:rsid w:val="32004C6A"/>
    <w:rsid w:val="323B3EF4"/>
    <w:rsid w:val="325D3E6B"/>
    <w:rsid w:val="33C9214B"/>
    <w:rsid w:val="341F01B7"/>
    <w:rsid w:val="34765BF2"/>
    <w:rsid w:val="34791C6D"/>
    <w:rsid w:val="358406CB"/>
    <w:rsid w:val="381D492B"/>
    <w:rsid w:val="38ED1EDE"/>
    <w:rsid w:val="3B941681"/>
    <w:rsid w:val="3D4313C4"/>
    <w:rsid w:val="3D687B67"/>
    <w:rsid w:val="3D8A054E"/>
    <w:rsid w:val="3DA03245"/>
    <w:rsid w:val="3F8F3AD1"/>
    <w:rsid w:val="405F0B00"/>
    <w:rsid w:val="42AB0C22"/>
    <w:rsid w:val="44230431"/>
    <w:rsid w:val="444306B4"/>
    <w:rsid w:val="4537679D"/>
    <w:rsid w:val="4545710C"/>
    <w:rsid w:val="45572A7F"/>
    <w:rsid w:val="4605121C"/>
    <w:rsid w:val="46420E58"/>
    <w:rsid w:val="46720267"/>
    <w:rsid w:val="47180C26"/>
    <w:rsid w:val="483728F5"/>
    <w:rsid w:val="48382F58"/>
    <w:rsid w:val="49EB7B56"/>
    <w:rsid w:val="4A785737"/>
    <w:rsid w:val="4BFA65D9"/>
    <w:rsid w:val="4DD67566"/>
    <w:rsid w:val="4E092CA1"/>
    <w:rsid w:val="4E0E2652"/>
    <w:rsid w:val="4F8B6063"/>
    <w:rsid w:val="50187D40"/>
    <w:rsid w:val="515C0112"/>
    <w:rsid w:val="51ED6BE4"/>
    <w:rsid w:val="52FB705C"/>
    <w:rsid w:val="534E0387"/>
    <w:rsid w:val="534E1882"/>
    <w:rsid w:val="536A7F0B"/>
    <w:rsid w:val="541A66F2"/>
    <w:rsid w:val="56220DA3"/>
    <w:rsid w:val="56337DCF"/>
    <w:rsid w:val="56446355"/>
    <w:rsid w:val="574813E7"/>
    <w:rsid w:val="57690E03"/>
    <w:rsid w:val="580B46CD"/>
    <w:rsid w:val="58A90B5F"/>
    <w:rsid w:val="5ACA3972"/>
    <w:rsid w:val="5AE04594"/>
    <w:rsid w:val="5B4A6DD2"/>
    <w:rsid w:val="5BC3706B"/>
    <w:rsid w:val="5C115B42"/>
    <w:rsid w:val="5C2F1F3C"/>
    <w:rsid w:val="5C680FD0"/>
    <w:rsid w:val="5D177188"/>
    <w:rsid w:val="5D1F1490"/>
    <w:rsid w:val="5F7102C0"/>
    <w:rsid w:val="5FA42829"/>
    <w:rsid w:val="5FA7072F"/>
    <w:rsid w:val="6168089C"/>
    <w:rsid w:val="620F0E3C"/>
    <w:rsid w:val="627E55B4"/>
    <w:rsid w:val="638A6274"/>
    <w:rsid w:val="63A571DA"/>
    <w:rsid w:val="63C17BCC"/>
    <w:rsid w:val="63D12EA3"/>
    <w:rsid w:val="6400795F"/>
    <w:rsid w:val="640A35A3"/>
    <w:rsid w:val="64D876DB"/>
    <w:rsid w:val="64E751EA"/>
    <w:rsid w:val="6683763C"/>
    <w:rsid w:val="674B78C3"/>
    <w:rsid w:val="6831101D"/>
    <w:rsid w:val="68E463DE"/>
    <w:rsid w:val="68FA0808"/>
    <w:rsid w:val="6901679E"/>
    <w:rsid w:val="6A1D56B2"/>
    <w:rsid w:val="6A676BAB"/>
    <w:rsid w:val="6A7A48B2"/>
    <w:rsid w:val="6AA24FB9"/>
    <w:rsid w:val="6AA64C8B"/>
    <w:rsid w:val="6AEF5FA7"/>
    <w:rsid w:val="6C134FBF"/>
    <w:rsid w:val="6CCF5389"/>
    <w:rsid w:val="6CF7043C"/>
    <w:rsid w:val="6D5E2269"/>
    <w:rsid w:val="6D7E031E"/>
    <w:rsid w:val="6D9B4A7B"/>
    <w:rsid w:val="6FA72123"/>
    <w:rsid w:val="706E61A7"/>
    <w:rsid w:val="70A94143"/>
    <w:rsid w:val="710417A2"/>
    <w:rsid w:val="73880040"/>
    <w:rsid w:val="741A377C"/>
    <w:rsid w:val="75915277"/>
    <w:rsid w:val="759F5B15"/>
    <w:rsid w:val="76205CB7"/>
    <w:rsid w:val="76661C22"/>
    <w:rsid w:val="77C61424"/>
    <w:rsid w:val="78241612"/>
    <w:rsid w:val="79694470"/>
    <w:rsid w:val="7B646353"/>
    <w:rsid w:val="7C9E08D4"/>
    <w:rsid w:val="7CE21D95"/>
    <w:rsid w:val="7D045640"/>
    <w:rsid w:val="7D524C96"/>
    <w:rsid w:val="7E53294F"/>
    <w:rsid w:val="7E716A49"/>
    <w:rsid w:val="7E7C69F3"/>
    <w:rsid w:val="7EAB3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tabs>
        <w:tab w:val="left" w:pos="1230"/>
      </w:tabs>
      <w:spacing w:before="240" w:after="120"/>
      <w:ind w:left="1230" w:hanging="1230"/>
      <w:jc w:val="center"/>
      <w:outlineLvl w:val="0"/>
    </w:pPr>
    <w:rPr>
      <w:rFonts w:eastAsia="黑体"/>
      <w:b/>
      <w:bCs/>
      <w:kern w:val="44"/>
      <w:sz w:val="4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Default"/>
    <w:basedOn w:val="3"/>
    <w:qFormat/>
    <w:uiPriority w:val="0"/>
    <w:pPr>
      <w:widowControl w:val="0"/>
      <w:autoSpaceDE w:val="0"/>
      <w:autoSpaceDN w:val="0"/>
      <w:adjustRightInd w:val="0"/>
    </w:pPr>
    <w:rPr>
      <w:rFonts w:ascii="宋体_x0002_" w:eastAsia="宋体_x0002_" w:cs="宋体_x0002_"/>
      <w:color w:val="000000"/>
      <w:sz w:val="24"/>
      <w:szCs w:val="24"/>
      <w:lang w:val="en-US" w:eastAsia="zh-CN" w:bidi="ar-SA"/>
    </w:rPr>
  </w:style>
  <w:style w:type="paragraph" w:customStyle="1" w:styleId="3">
    <w:name w:val="纯文本1"/>
    <w:basedOn w:val="1"/>
    <w:qFormat/>
    <w:uiPriority w:val="0"/>
    <w:pPr>
      <w:adjustRightInd w:val="0"/>
    </w:pPr>
    <w:rPr>
      <w:rFonts w:ascii="宋体" w:hAnsi="Courier New"/>
      <w:szCs w:val="20"/>
    </w:rPr>
  </w:style>
  <w:style w:type="paragraph" w:styleId="5">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6">
    <w:name w:val="Block Text"/>
    <w:basedOn w:val="1"/>
    <w:next w:val="1"/>
    <w:autoRedefine/>
    <w:qFormat/>
    <w:uiPriority w:val="0"/>
    <w:pPr>
      <w:snapToGrid w:val="0"/>
      <w:spacing w:before="100" w:beforeAutospacing="1" w:after="100" w:afterAutospacing="1" w:line="408" w:lineRule="auto"/>
      <w:ind w:left="-113" w:right="-510" w:firstLine="510"/>
    </w:pPr>
  </w:style>
  <w:style w:type="paragraph" w:styleId="7">
    <w:name w:val="footer"/>
    <w:basedOn w:val="1"/>
    <w:link w:val="13"/>
    <w:qFormat/>
    <w:uiPriority w:val="0"/>
    <w:pPr>
      <w:tabs>
        <w:tab w:val="center" w:pos="4153"/>
        <w:tab w:val="right" w:pos="8306"/>
      </w:tabs>
      <w:snapToGrid w:val="0"/>
      <w:jc w:val="left"/>
    </w:pPr>
    <w:rPr>
      <w:sz w:val="18"/>
      <w:szCs w:val="18"/>
    </w:rPr>
  </w:style>
  <w:style w:type="paragraph" w:styleId="8">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8"/>
    <w:qFormat/>
    <w:uiPriority w:val="0"/>
    <w:rPr>
      <w:kern w:val="2"/>
      <w:sz w:val="18"/>
      <w:szCs w:val="18"/>
    </w:rPr>
  </w:style>
  <w:style w:type="character" w:customStyle="1" w:styleId="13">
    <w:name w:val="页脚 Char"/>
    <w:basedOn w:val="11"/>
    <w:link w:val="7"/>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1353</Words>
  <Characters>1459</Characters>
  <Lines>10</Lines>
  <Paragraphs>3</Paragraphs>
  <TotalTime>12</TotalTime>
  <ScaleCrop>false</ScaleCrop>
  <LinksUpToDate>false</LinksUpToDate>
  <CharactersWithSpaces>1552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2019-01-21T06:33:00Z</dcterms:created>
  <dc:creator>qiaqia</dc:creator>
  <cp:lastModifiedBy>苍海（杜家坤）</cp:lastModifiedBy>
  <dcterms:modified xsi:type="dcterms:W3CDTF">2026-03-25T00:56:29Z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7954AFA1BC0E49D6B30463080F4C3D36</vt:lpwstr>
  </property>
  <property fmtid="{D5CDD505-2E9C-101B-9397-08002B2CF9AE}" pid="4" name="KSOTemplateDocerSaveRecord">
    <vt:lpwstr>eyJoZGlkIjoiZjI0M2I4N2QxOWFjMzU3YmQ3Yjc1YzZlMDQ2ZjBjNDAiLCJ1c2VySWQiOiIzODM3OTg1MDIifQ==</vt:lpwstr>
  </property>
</Properties>
</file>